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785" w:rsidRPr="00A02785" w:rsidRDefault="00A02785" w:rsidP="00A027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A02785">
        <w:rPr>
          <w:rFonts w:ascii="Times New Roman" w:eastAsia="Times New Roman" w:hAnsi="Times New Roman" w:cs="Times New Roman"/>
          <w:sz w:val="28"/>
          <w:szCs w:val="28"/>
        </w:rPr>
        <w:t>Синякова</w:t>
      </w:r>
      <w:proofErr w:type="spellEnd"/>
      <w:r w:rsidRPr="00A02785">
        <w:rPr>
          <w:rFonts w:ascii="Times New Roman" w:eastAsia="Times New Roman" w:hAnsi="Times New Roman" w:cs="Times New Roman"/>
          <w:sz w:val="28"/>
          <w:szCs w:val="28"/>
        </w:rPr>
        <w:t xml:space="preserve"> Екатерина Александровна, учитель начальных классов ГБОУ СОШ п.г.т. Мирный </w:t>
      </w:r>
      <w:proofErr w:type="gramStart"/>
      <w:r w:rsidRPr="00A02785">
        <w:rPr>
          <w:rFonts w:ascii="Times New Roman" w:eastAsia="Times New Roman" w:hAnsi="Times New Roman" w:cs="Times New Roman"/>
          <w:sz w:val="28"/>
          <w:szCs w:val="28"/>
        </w:rPr>
        <w:t>м</w:t>
      </w:r>
      <w:proofErr w:type="gramEnd"/>
      <w:r w:rsidRPr="00A02785">
        <w:rPr>
          <w:rFonts w:ascii="Times New Roman" w:eastAsia="Times New Roman" w:hAnsi="Times New Roman" w:cs="Times New Roman"/>
          <w:sz w:val="28"/>
          <w:szCs w:val="28"/>
        </w:rPr>
        <w:t>.р. Красноярский</w:t>
      </w:r>
    </w:p>
    <w:p w:rsidR="00B17571" w:rsidRDefault="00A02785" w:rsidP="00A0278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B17571" w:rsidRPr="00B17571">
        <w:rPr>
          <w:rFonts w:ascii="Times New Roman" w:eastAsia="Times New Roman" w:hAnsi="Times New Roman" w:cs="Times New Roman"/>
          <w:b/>
          <w:sz w:val="28"/>
          <w:szCs w:val="28"/>
        </w:rPr>
        <w:t>Модульная система экспериментов PROLog как средство реализации практико-ориентированной деятельности обучающихся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A02785" w:rsidRPr="00B17571" w:rsidRDefault="00A02785" w:rsidP="00A02785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17571" w:rsidRPr="00B17571" w:rsidRDefault="00B17571" w:rsidP="00A027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В основу ФГОС второго поколения положен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системно-деятельностный подход в обучении с применением инновационных технологий. </w:t>
      </w:r>
    </w:p>
    <w:p w:rsidR="00B17571" w:rsidRPr="00B17571" w:rsidRDefault="00B17571" w:rsidP="00A027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Учебный эксперимент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в начальной школе – это отражение научного метода исследования. Сформированные в ходе проведения эксперимента умения являются важным аспектом в положительной мотивации обучающихся на практико-ориентированную деятельность. </w:t>
      </w:r>
    </w:p>
    <w:p w:rsidR="00B17571" w:rsidRPr="00B17571" w:rsidRDefault="00B17571" w:rsidP="00A0278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только традиционных средств обучения недостаточно в соответствии с ФГОС, поэтому я стала внедрять в практику своей работы инновационные средства обучения, способствующих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формированию у обучающихся универсальных учебных действий. </w:t>
      </w:r>
    </w:p>
    <w:p w:rsidR="00B17571" w:rsidRPr="00B17571" w:rsidRDefault="00B17571" w:rsidP="00A027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В прошлом году я начала осваивать модульную систему экспериментов PROLog. </w:t>
      </w:r>
      <w:r w:rsidRPr="00B17571">
        <w:rPr>
          <w:rFonts w:ascii="Times New Roman" w:hAnsi="Times New Roman" w:cs="Times New Roman"/>
          <w:sz w:val="28"/>
          <w:szCs w:val="28"/>
        </w:rPr>
        <w:t xml:space="preserve">Учебный эксперимент в школьном  курсе окружающего мира в начальной школе — это отражение научного метода исследования. Сформированные в ходе проведения экспериментов метапредметные универсальные учебные действия являются важным аспектом для положительной мотивации обучающихся на </w:t>
      </w:r>
      <w:proofErr w:type="spellStart"/>
      <w:proofErr w:type="gramStart"/>
      <w:r w:rsidRPr="00B17571">
        <w:rPr>
          <w:rFonts w:ascii="Times New Roman" w:hAnsi="Times New Roman" w:cs="Times New Roman"/>
          <w:sz w:val="28"/>
          <w:szCs w:val="28"/>
        </w:rPr>
        <w:t>практико</w:t>
      </w:r>
      <w:proofErr w:type="spellEnd"/>
      <w:r w:rsidRPr="00B17571">
        <w:rPr>
          <w:rFonts w:ascii="Times New Roman" w:hAnsi="Times New Roman" w:cs="Times New Roman"/>
          <w:sz w:val="28"/>
          <w:szCs w:val="28"/>
        </w:rPr>
        <w:t xml:space="preserve"> - ориентированную</w:t>
      </w:r>
      <w:proofErr w:type="gramEnd"/>
      <w:r w:rsidRPr="00B17571">
        <w:rPr>
          <w:rFonts w:ascii="Times New Roman" w:hAnsi="Times New Roman" w:cs="Times New Roman"/>
          <w:sz w:val="28"/>
          <w:szCs w:val="28"/>
        </w:rPr>
        <w:t xml:space="preserve"> деятельность. </w:t>
      </w:r>
    </w:p>
    <w:p w:rsidR="00B17571" w:rsidRPr="00B17571" w:rsidRDefault="00B17571" w:rsidP="00A02785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B1757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Метапредметные результаты:</w:t>
      </w:r>
    </w:p>
    <w:p w:rsidR="00B17571" w:rsidRPr="00A02785" w:rsidRDefault="00B17571" w:rsidP="00A027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A02785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способность регулировать собственную деятельность, направленную на познание окружающего мира;</w:t>
      </w:r>
    </w:p>
    <w:p w:rsidR="00B17571" w:rsidRPr="00A02785" w:rsidRDefault="00B17571" w:rsidP="00A027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A02785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способность осуществлять информационный поиск для выполнения учебных задач;  осознание правил и норм взаимодействия с педагогами и сверстниками в классе;</w:t>
      </w:r>
    </w:p>
    <w:p w:rsidR="00B17571" w:rsidRPr="00A02785" w:rsidRDefault="00B17571" w:rsidP="00A0278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A02785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способность работать с моделями изучаемых объектов и явлений окружающего мира.</w:t>
      </w:r>
    </w:p>
    <w:p w:rsidR="00B17571" w:rsidRPr="00B17571" w:rsidRDefault="00B17571" w:rsidP="001A2C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B1757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lastRenderedPageBreak/>
        <w:t>Личностные результаты:</w:t>
      </w:r>
    </w:p>
    <w:p w:rsidR="001A2C57" w:rsidRDefault="00B17571" w:rsidP="00A027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готовность и способность </w:t>
      </w:r>
      <w:proofErr w:type="gramStart"/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обучающихся</w:t>
      </w:r>
      <w:proofErr w:type="gramEnd"/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к саморазвитию;</w:t>
      </w:r>
    </w:p>
    <w:p w:rsidR="001A2C57" w:rsidRDefault="00B17571" w:rsidP="00A027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ценностное отношение к природному миру, готовность следовать нормам</w:t>
      </w:r>
      <w:r w:rsid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здоровьесберегающего</w:t>
      </w:r>
      <w:proofErr w:type="spellEnd"/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поведения; учебно-познавательная мотивация учебной деятельности;</w:t>
      </w:r>
    </w:p>
    <w:p w:rsidR="001A2C57" w:rsidRDefault="00B17571" w:rsidP="00A027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самооценка на основе критериев успешности учебной деятельности;</w:t>
      </w:r>
    </w:p>
    <w:p w:rsidR="00B17571" w:rsidRPr="001A2C57" w:rsidRDefault="00B17571" w:rsidP="00A0278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навыки сотрудничества в учебной ситуации.</w:t>
      </w:r>
    </w:p>
    <w:p w:rsidR="001A2C57" w:rsidRDefault="00B17571" w:rsidP="001A2C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proofErr w:type="gramStart"/>
      <w:r w:rsidRPr="00B1757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Познавательные</w:t>
      </w:r>
      <w:proofErr w:type="gramEnd"/>
      <w:r w:rsidRPr="00B1757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 логические</w:t>
      </w:r>
      <w:r w:rsidRPr="00B17571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 УУД: анализ; сравнение; классификация по заданным критериям; установление причинно-следственных связей. </w:t>
      </w:r>
    </w:p>
    <w:p w:rsidR="001A2C57" w:rsidRDefault="00B17571" w:rsidP="001A2C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B1757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>Коммуникативные УУД</w:t>
      </w:r>
    </w:p>
    <w:p w:rsidR="00B17571" w:rsidRPr="001A2C57" w:rsidRDefault="00B17571" w:rsidP="001A2C57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 xml:space="preserve">уметь </w:t>
      </w:r>
      <w:r w:rsidRPr="001A2C57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задавать вопросы, необходимые для организации собственной деятельности и сотрудничества с партнёром;</w:t>
      </w:r>
    </w:p>
    <w:p w:rsidR="001A2C57" w:rsidRDefault="00B17571" w:rsidP="00A027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определять цели, функции участников, способы взаимодействия;</w:t>
      </w:r>
    </w:p>
    <w:p w:rsidR="00B17571" w:rsidRPr="001A2C57" w:rsidRDefault="00B17571" w:rsidP="00A0278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договариваться о распределении функций и ролей в совместной деятельности.</w:t>
      </w:r>
    </w:p>
    <w:p w:rsidR="00B17571" w:rsidRPr="00B17571" w:rsidRDefault="00B17571" w:rsidP="001A2C57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B17571">
        <w:rPr>
          <w:rFonts w:ascii="Times New Roman" w:eastAsia="TimesNewRomanPS-BoldMT" w:hAnsi="Times New Roman" w:cs="Times New Roman"/>
          <w:b/>
          <w:bCs/>
          <w:color w:val="000000"/>
          <w:sz w:val="28"/>
          <w:szCs w:val="28"/>
        </w:rPr>
        <w:t xml:space="preserve">Регулятивные УУД </w:t>
      </w:r>
    </w:p>
    <w:p w:rsidR="00B17571" w:rsidRPr="001A2C57" w:rsidRDefault="00B17571" w:rsidP="001A2C5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выделять и формулировать то, что усвоено,</w:t>
      </w:r>
    </w:p>
    <w:p w:rsidR="00B17571" w:rsidRPr="001A2C57" w:rsidRDefault="00B17571" w:rsidP="001A2C5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определять качество и уровень усвоения;</w:t>
      </w:r>
    </w:p>
    <w:p w:rsidR="00B17571" w:rsidRPr="001A2C57" w:rsidRDefault="00B17571" w:rsidP="001A2C5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устанавливать соответствие полученного  результата поставленной цели;</w:t>
      </w:r>
    </w:p>
    <w:p w:rsidR="00B17571" w:rsidRPr="001A2C57" w:rsidRDefault="00B17571" w:rsidP="001A2C57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</w:pPr>
      <w:r w:rsidRPr="001A2C57">
        <w:rPr>
          <w:rFonts w:ascii="Times New Roman" w:eastAsia="TimesNewRomanPS-BoldMT" w:hAnsi="Times New Roman" w:cs="Times New Roman"/>
          <w:bCs/>
          <w:color w:val="000000"/>
          <w:sz w:val="28"/>
          <w:szCs w:val="28"/>
        </w:rPr>
        <w:t>соотносить правильность выбора, планирования, выполнения и результата действия с требованиями конкретной задачи.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Цифровая модульная система экспериментов PROLog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– это программно-аппаратный комплекс, обеспечивающий сбор и обработку данных экспериментов в области различных дисциплин </w:t>
      </w:r>
      <w:proofErr w:type="gramStart"/>
      <w:r w:rsidRPr="00B17571">
        <w:rPr>
          <w:rFonts w:ascii="Times New Roman" w:eastAsia="Times New Roman" w:hAnsi="Times New Roman" w:cs="Times New Roman"/>
          <w:sz w:val="28"/>
          <w:szCs w:val="28"/>
        </w:rPr>
        <w:t>естественно-научного</w:t>
      </w:r>
      <w:proofErr w:type="gram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цикла начальной, основной и средней школы.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Система PROLog основана на автономных </w:t>
      </w:r>
      <w:r w:rsidRPr="00B17571">
        <w:rPr>
          <w:rFonts w:ascii="Times New Roman" w:eastAsia="Times New Roman" w:hAnsi="Times New Roman" w:cs="Times New Roman"/>
          <w:i/>
          <w:sz w:val="28"/>
          <w:szCs w:val="28"/>
        </w:rPr>
        <w:t xml:space="preserve">цифровых измерительных модулях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(ЦИМ), каждый из которых может быть рассмотрен как самостоятельный регистратор данных, позволяющий записывать и хранить значения измеряемых величин независимо друг от друга.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состав системы входят устройства: персональный компьютер, цифровые измерительные модули (температура, звук, освещенность, относительная влажность, атмосферное давление), модуль отображения информации графический, модуль отображения информации числовой.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Для работы системы в комплекте с ПК применяется программное обеспечение PROLog.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Цифровые модули системы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PROLog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могут работать в двух режимах: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B175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Эксперимент в прямом режиме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(эксперимент при подключенных модулях, on-line-эксперимент), т.е. при подключении к ПК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• </w:t>
      </w:r>
      <w:r w:rsidRPr="00B17571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Эксперимент в автономном режиме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(автономный эксперимент, off-line-эксперимент).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Для проведения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лабораторной работы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с модульной системой </w:t>
      </w:r>
      <w:proofErr w:type="spellStart"/>
      <w:r w:rsidRPr="00B17571">
        <w:rPr>
          <w:rFonts w:ascii="Times New Roman" w:eastAsia="Times New Roman" w:hAnsi="Times New Roman" w:cs="Times New Roman"/>
          <w:sz w:val="28"/>
          <w:szCs w:val="28"/>
        </w:rPr>
        <w:t>ProLog</w:t>
      </w:r>
      <w:proofErr w:type="spell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каждый ученик получает учебную тетрадь, в которой прописан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алгоритм (пошаговая инструкция)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проведения каждого эксперимента, начиная со слов «Включите компьютер» </w:t>
      </w:r>
      <w:proofErr w:type="gramStart"/>
      <w:r w:rsidRPr="00B17571"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заканчивая «Отключите модуль от компьютера». Кроме инструкции, каждая лабораторная содержит фотографию с изображением собранной модульной установки, краткий теоретический материал по теме лабораторной работы, таблицы данных, </w:t>
      </w:r>
      <w:proofErr w:type="spellStart"/>
      <w:r w:rsidRPr="00B17571">
        <w:rPr>
          <w:rFonts w:ascii="Times New Roman" w:eastAsia="Times New Roman" w:hAnsi="Times New Roman" w:cs="Times New Roman"/>
          <w:sz w:val="28"/>
          <w:szCs w:val="28"/>
        </w:rPr>
        <w:t>скриншоты</w:t>
      </w:r>
      <w:proofErr w:type="spell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экранов (изображения), контрольные вопросы, дополнительные задания и другой материал, благодаря чему эксперимент может провести школьник, впервые увидевший </w:t>
      </w:r>
      <w:proofErr w:type="spellStart"/>
      <w:r w:rsidRPr="00B17571">
        <w:rPr>
          <w:rFonts w:ascii="Times New Roman" w:eastAsia="Times New Roman" w:hAnsi="Times New Roman" w:cs="Times New Roman"/>
          <w:sz w:val="28"/>
          <w:szCs w:val="28"/>
        </w:rPr>
        <w:t>ProLog</w:t>
      </w:r>
      <w:proofErr w:type="spell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Данный комплект учит младших школьников наблюдать за окружающим миром, изучать и исследовать его, помогает найти ответ на многие детские «почему?».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Например,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на уроках окружающего мира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в 1-4 классах при изучении тем «Температура воды», «Свойства воды», «Сезонные изменения в природе», выполняя лабораторную работу с помощью цифрового измерительного модуля «Температура», дети узнают: Почему лёд тает, а вода закипает? Где теплее - в классе или на улице? Почему жидкость в термосе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lastRenderedPageBreak/>
        <w:t>долго остается горячей</w:t>
      </w:r>
      <w:r w:rsidR="008618A2">
        <w:rPr>
          <w:rFonts w:ascii="Times New Roman" w:eastAsia="Times New Roman" w:hAnsi="Times New Roman" w:cs="Times New Roman"/>
          <w:sz w:val="28"/>
          <w:szCs w:val="28"/>
        </w:rPr>
        <w:t>?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Изучить мир звуков, понять, что такое шум, узнать, почему тише в лесу, а не рядом с дорогой, поможет модуль «Звук».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При проведении лабораторной работы «Измерение громкости звука» по теме «Влияние шума окружающей среды на здоровье человека» дети измеряют и анализируют уровень шума на уроке и во время перемены. При сравнении результатов измерения учащиеся делают вывод, что уровень шума на перемене равен уровню шума на </w:t>
      </w:r>
      <w:proofErr w:type="spellStart"/>
      <w:proofErr w:type="gramStart"/>
      <w:r w:rsidRPr="00B17571">
        <w:rPr>
          <w:rFonts w:ascii="Times New Roman" w:eastAsia="Times New Roman" w:hAnsi="Times New Roman" w:cs="Times New Roman"/>
          <w:sz w:val="28"/>
          <w:szCs w:val="28"/>
        </w:rPr>
        <w:t>рок-концерте</w:t>
      </w:r>
      <w:proofErr w:type="spellEnd"/>
      <w:proofErr w:type="gram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, дискотеке. Этот эксперимент заставляет детей задуматься над тем, какой вред своему здоровью они сами себе могут причинить.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Использование в своей работе модульной системы экспериментов </w:t>
      </w:r>
      <w:proofErr w:type="spellStart"/>
      <w:r w:rsidRPr="00B17571">
        <w:rPr>
          <w:rFonts w:ascii="Times New Roman" w:eastAsia="Times New Roman" w:hAnsi="Times New Roman" w:cs="Times New Roman"/>
          <w:sz w:val="28"/>
          <w:szCs w:val="28"/>
        </w:rPr>
        <w:t>ProLog</w:t>
      </w:r>
      <w:proofErr w:type="spell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предоставляет возможность обучающимся начальной школы почувствовать себя </w:t>
      </w: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в роли настоящих ученых-исследователей. </w:t>
      </w:r>
    </w:p>
    <w:p w:rsidR="00B17571" w:rsidRPr="00B17571" w:rsidRDefault="00B17571" w:rsidP="001A2C57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Проведенные лабораторные работы: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№1 «Измерение температуры воды»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>Лабораторная работа №2 «Измерение температуры воздуха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№3 «Измерение положительной и отрицательной температуры »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№4 «Изучение таяния льда»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№5 «Измерение громкости звука»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№6 «Зависимость громкости звука от расстояния»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№7 «Как распространяется звук?» </w:t>
      </w:r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возможна </w:t>
      </w:r>
      <w:proofErr w:type="gramStart"/>
      <w:r w:rsidRPr="00B17571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gramEnd"/>
      <w:r w:rsidRPr="00B1757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17571" w:rsidRPr="00B17571" w:rsidRDefault="00B17571" w:rsidP="00A0278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</w:rPr>
      </w:pPr>
      <w:r w:rsidRPr="00B17571">
        <w:rPr>
          <w:rFonts w:ascii="Times New Roman" w:eastAsia="Times New Roman" w:hAnsi="Times New Roman" w:cs="Times New Roman"/>
          <w:b/>
          <w:sz w:val="28"/>
          <w:szCs w:val="28"/>
        </w:rPr>
        <w:t xml:space="preserve">Лабораторная работа №8 «Измерение относительной влажности» </w:t>
      </w:r>
    </w:p>
    <w:p w:rsidR="00F34D93" w:rsidRPr="001A2C57" w:rsidRDefault="008618A2" w:rsidP="00A02785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8618A2">
        <w:rPr>
          <w:rFonts w:ascii="Times New Roman" w:hAnsi="Times New Roman" w:cs="Times New Roman"/>
          <w:b/>
          <w:sz w:val="28"/>
          <w:szCs w:val="28"/>
        </w:rPr>
        <w:t>роект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A2C57">
        <w:rPr>
          <w:rFonts w:ascii="Times New Roman" w:hAnsi="Times New Roman" w:cs="Times New Roman"/>
          <w:b/>
          <w:sz w:val="28"/>
          <w:szCs w:val="28"/>
        </w:rPr>
        <w:t>« Почему тепло в варежках»</w:t>
      </w:r>
    </w:p>
    <w:sectPr w:rsidR="00F34D93" w:rsidRPr="001A2C57" w:rsidSect="00C905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13CE3"/>
    <w:multiLevelType w:val="hybridMultilevel"/>
    <w:tmpl w:val="E1809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193924"/>
    <w:multiLevelType w:val="hybridMultilevel"/>
    <w:tmpl w:val="BBFE74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2B7A5E"/>
    <w:multiLevelType w:val="hybridMultilevel"/>
    <w:tmpl w:val="9FAE51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AF1CEC"/>
    <w:multiLevelType w:val="hybridMultilevel"/>
    <w:tmpl w:val="140A4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17571"/>
    <w:rsid w:val="001A2C57"/>
    <w:rsid w:val="008618A2"/>
    <w:rsid w:val="00966942"/>
    <w:rsid w:val="00A02785"/>
    <w:rsid w:val="00B17571"/>
    <w:rsid w:val="00C905CD"/>
    <w:rsid w:val="00F34D93"/>
    <w:rsid w:val="00F66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05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7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Кузьмина</cp:lastModifiedBy>
  <cp:revision>2</cp:revision>
  <dcterms:created xsi:type="dcterms:W3CDTF">2014-10-26T06:32:00Z</dcterms:created>
  <dcterms:modified xsi:type="dcterms:W3CDTF">2014-10-26T06:32:00Z</dcterms:modified>
</cp:coreProperties>
</file>